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D368A" w14:textId="701F916F" w:rsidR="00541638" w:rsidRDefault="0066083B" w:rsidP="00541638">
      <w:pPr>
        <w:rPr>
          <w:rFonts w:eastAsia="Times New Roman" w:cstheme="minorHAnsi"/>
          <w:sz w:val="20"/>
          <w:szCs w:val="20"/>
        </w:rPr>
      </w:pPr>
      <w:r w:rsidRPr="00541638">
        <w:rPr>
          <w:noProof/>
        </w:rPr>
        <w:drawing>
          <wp:anchor distT="0" distB="0" distL="114300" distR="114300" simplePos="0" relativeHeight="251659264" behindDoc="0" locked="0" layoutInCell="1" allowOverlap="1" wp14:anchorId="4C6EB461" wp14:editId="39BB91AF">
            <wp:simplePos x="0" y="0"/>
            <wp:positionH relativeFrom="column">
              <wp:posOffset>3814618</wp:posOffset>
            </wp:positionH>
            <wp:positionV relativeFrom="paragraph">
              <wp:posOffset>157018</wp:posOffset>
            </wp:positionV>
            <wp:extent cx="2252470" cy="1615613"/>
            <wp:effectExtent l="0" t="0" r="0" b="0"/>
            <wp:wrapNone/>
            <wp:docPr id="13" name="Picture 12">
              <a:extLst xmlns:a="http://schemas.openxmlformats.org/drawingml/2006/main">
                <a:ext uri="{FF2B5EF4-FFF2-40B4-BE49-F238E27FC236}">
                  <a16:creationId xmlns:a16="http://schemas.microsoft.com/office/drawing/2014/main" id="{5DBC7065-DBC8-AE4D-903D-714B57C3D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DBC7065-DBC8-AE4D-903D-714B57C3D75F}"/>
                        </a:ext>
                      </a:extLst>
                    </pic:cNvPr>
                    <pic:cNvPicPr>
                      <a:picLocks noChangeAspect="1"/>
                    </pic:cNvPicPr>
                  </pic:nvPicPr>
                  <pic:blipFill>
                    <a:blip r:embed="rId7"/>
                    <a:stretch>
                      <a:fillRect/>
                    </a:stretch>
                  </pic:blipFill>
                  <pic:spPr>
                    <a:xfrm>
                      <a:off x="0" y="0"/>
                      <a:ext cx="2252711" cy="1615786"/>
                    </a:xfrm>
                    <a:prstGeom prst="rect">
                      <a:avLst/>
                    </a:prstGeom>
                  </pic:spPr>
                </pic:pic>
              </a:graphicData>
            </a:graphic>
            <wp14:sizeRelH relativeFrom="margin">
              <wp14:pctWidth>0</wp14:pctWidth>
            </wp14:sizeRelH>
            <wp14:sizeRelV relativeFrom="margin">
              <wp14:pctHeight>0</wp14:pctHeight>
            </wp14:sizeRelV>
          </wp:anchor>
        </w:drawing>
      </w:r>
    </w:p>
    <w:p w14:paraId="796D0F04" w14:textId="224C9C94" w:rsidR="00EA25CC" w:rsidRDefault="00EA25CC" w:rsidP="00EA25CC">
      <w:pPr>
        <w:rPr>
          <w:rFonts w:eastAsia="Times New Roman" w:cstheme="minorHAnsi"/>
          <w:b/>
        </w:rPr>
      </w:pPr>
      <w:r>
        <w:rPr>
          <w:rFonts w:eastAsia="Times New Roman" w:cstheme="minorHAnsi"/>
          <w:b/>
          <w:noProof/>
        </w:rPr>
        <w:drawing>
          <wp:inline distT="0" distB="0" distL="0" distR="0" wp14:anchorId="0EBAB97C" wp14:editId="2C6A7B80">
            <wp:extent cx="2159000" cy="16192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010.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2174548" cy="1630911"/>
                    </a:xfrm>
                    <a:prstGeom prst="rect">
                      <a:avLst/>
                    </a:prstGeom>
                  </pic:spPr>
                </pic:pic>
              </a:graphicData>
            </a:graphic>
          </wp:inline>
        </w:drawing>
      </w:r>
      <w:r>
        <w:rPr>
          <w:rFonts w:eastAsia="Times New Roman" w:cstheme="minorHAnsi"/>
          <w:b/>
        </w:rPr>
        <w:t xml:space="preserve">       </w:t>
      </w:r>
      <w:r>
        <w:rPr>
          <w:rFonts w:eastAsia="Times New Roman" w:cstheme="minorHAnsi"/>
          <w:b/>
          <w:noProof/>
        </w:rPr>
        <w:drawing>
          <wp:inline distT="0" distB="0" distL="0" distR="0" wp14:anchorId="0C10B2D9" wp14:editId="77A9DE09">
            <wp:extent cx="1162786" cy="162687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StoryHouse-v.2-storyHous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4271" cy="1642939"/>
                    </a:xfrm>
                    <a:prstGeom prst="rect">
                      <a:avLst/>
                    </a:prstGeom>
                  </pic:spPr>
                </pic:pic>
              </a:graphicData>
            </a:graphic>
          </wp:inline>
        </w:drawing>
      </w:r>
      <w:r>
        <w:rPr>
          <w:rFonts w:eastAsia="Times New Roman" w:cstheme="minorHAnsi"/>
          <w:b/>
        </w:rPr>
        <w:t xml:space="preserve">  </w:t>
      </w:r>
    </w:p>
    <w:p w14:paraId="67E60828" w14:textId="77777777" w:rsidR="00EA25CC" w:rsidRPr="00EA25CC" w:rsidRDefault="00EA25CC" w:rsidP="00EA25CC">
      <w:pPr>
        <w:rPr>
          <w:rFonts w:eastAsia="Times New Roman" w:cstheme="minorHAnsi"/>
          <w:b/>
          <w:sz w:val="16"/>
          <w:szCs w:val="16"/>
        </w:rPr>
      </w:pPr>
    </w:p>
    <w:p w14:paraId="7ED3E289" w14:textId="127748A9" w:rsidR="00EA25CC" w:rsidRDefault="00EA25CC" w:rsidP="00EA25CC">
      <w:pPr>
        <w:rPr>
          <w:rFonts w:eastAsia="Times New Roman" w:cstheme="minorHAnsi"/>
          <w:b/>
          <w:sz w:val="16"/>
          <w:szCs w:val="16"/>
        </w:rPr>
      </w:pPr>
      <w:r w:rsidRPr="00EA25CC">
        <w:rPr>
          <w:rFonts w:eastAsia="Times New Roman" w:cstheme="minorHAnsi"/>
          <w:b/>
          <w:sz w:val="16"/>
          <w:szCs w:val="16"/>
        </w:rPr>
        <w:t xml:space="preserve">4 story buildings to become </w:t>
      </w:r>
      <w:bookmarkStart w:id="0" w:name="_GoBack"/>
      <w:r w:rsidR="00C2131B">
        <w:rPr>
          <w:rFonts w:eastAsia="Times New Roman" w:cstheme="minorHAnsi"/>
          <w:b/>
          <w:sz w:val="16"/>
          <w:szCs w:val="16"/>
        </w:rPr>
        <w:t>7</w:t>
      </w:r>
      <w:r w:rsidRPr="00EA25CC">
        <w:rPr>
          <w:rFonts w:eastAsia="Times New Roman" w:cstheme="minorHAnsi"/>
          <w:b/>
          <w:sz w:val="16"/>
          <w:szCs w:val="16"/>
        </w:rPr>
        <w:t xml:space="preserve"> story</w:t>
      </w:r>
      <w:bookmarkEnd w:id="0"/>
      <w:r w:rsidRPr="00EA25CC">
        <w:rPr>
          <w:rFonts w:eastAsia="Times New Roman" w:cstheme="minorHAnsi"/>
          <w:b/>
          <w:sz w:val="16"/>
          <w:szCs w:val="16"/>
        </w:rPr>
        <w:t xml:space="preserve"> </w:t>
      </w:r>
      <w:r>
        <w:rPr>
          <w:rFonts w:eastAsia="Times New Roman" w:cstheme="minorHAnsi"/>
          <w:b/>
          <w:sz w:val="16"/>
          <w:szCs w:val="16"/>
        </w:rPr>
        <w:tab/>
      </w:r>
      <w:r>
        <w:rPr>
          <w:rFonts w:eastAsia="Times New Roman" w:cstheme="minorHAnsi"/>
          <w:b/>
          <w:sz w:val="16"/>
          <w:szCs w:val="16"/>
        </w:rPr>
        <w:tab/>
        <w:t xml:space="preserve">   4 story next to a 2 story</w:t>
      </w:r>
      <w:r>
        <w:rPr>
          <w:rFonts w:eastAsia="Times New Roman" w:cstheme="minorHAnsi"/>
          <w:b/>
          <w:sz w:val="16"/>
          <w:szCs w:val="16"/>
        </w:rPr>
        <w:tab/>
      </w:r>
      <w:r>
        <w:rPr>
          <w:rFonts w:eastAsia="Times New Roman" w:cstheme="minorHAnsi"/>
          <w:b/>
          <w:sz w:val="16"/>
          <w:szCs w:val="16"/>
        </w:rPr>
        <w:tab/>
        <w:t>Form-Built added density</w:t>
      </w:r>
    </w:p>
    <w:p w14:paraId="21A69337" w14:textId="77777777" w:rsidR="00EA25CC" w:rsidRPr="00EA25CC" w:rsidRDefault="00EA25CC" w:rsidP="00EA25CC">
      <w:pPr>
        <w:rPr>
          <w:rFonts w:eastAsia="Times New Roman" w:cstheme="minorHAnsi"/>
          <w:b/>
          <w:sz w:val="16"/>
          <w:szCs w:val="16"/>
        </w:rPr>
      </w:pPr>
    </w:p>
    <w:p w14:paraId="20DBD1A9" w14:textId="2F141ECA" w:rsidR="00EA25CC" w:rsidRPr="00CF24C2" w:rsidRDefault="00CF24C2" w:rsidP="00CF24C2">
      <w:pPr>
        <w:rPr>
          <w:rFonts w:ascii="Times New Roman" w:eastAsia="Times New Roman" w:hAnsi="Times New Roman" w:cs="Times New Roman"/>
          <w:b/>
        </w:rPr>
      </w:pPr>
      <w:r>
        <w:rPr>
          <w:rFonts w:ascii="Times New Roman" w:eastAsia="Times New Roman" w:hAnsi="Times New Roman" w:cs="Times New Roman"/>
          <w:b/>
        </w:rPr>
        <w:t xml:space="preserve">      </w:t>
      </w:r>
      <w:r w:rsidR="00EA25CC" w:rsidRPr="00CF24C2">
        <w:rPr>
          <w:rFonts w:ascii="Times New Roman" w:eastAsia="Times New Roman" w:hAnsi="Times New Roman" w:cs="Times New Roman"/>
          <w:b/>
        </w:rPr>
        <w:t>FAQ Sheet on the city-wide Up-Zoning Overlay Proposal on 100% Affordable Housing</w:t>
      </w:r>
    </w:p>
    <w:p w14:paraId="2C07094D" w14:textId="31EDF543" w:rsidR="00EA25CC" w:rsidRPr="00CF24C2" w:rsidRDefault="00A53EF7" w:rsidP="00EA25CC">
      <w:pPr>
        <w:rPr>
          <w:rFonts w:ascii="Times New Roman" w:eastAsia="Times New Roman" w:hAnsi="Times New Roman" w:cs="Times New Roman"/>
          <w:color w:val="000000" w:themeColor="text1"/>
          <w:sz w:val="21"/>
          <w:szCs w:val="21"/>
        </w:rPr>
      </w:pPr>
      <w:r w:rsidRPr="00CF24C2">
        <w:rPr>
          <w:rFonts w:ascii="Times New Roman" w:eastAsia="Times New Roman" w:hAnsi="Times New Roman" w:cs="Times New Roman"/>
          <w:sz w:val="21"/>
          <w:szCs w:val="21"/>
        </w:rPr>
        <w:tab/>
      </w:r>
      <w:r w:rsidRPr="00CF24C2">
        <w:rPr>
          <w:rFonts w:ascii="Times New Roman" w:eastAsia="Times New Roman" w:hAnsi="Times New Roman" w:cs="Times New Roman"/>
          <w:sz w:val="21"/>
          <w:szCs w:val="21"/>
        </w:rPr>
        <w:tab/>
      </w:r>
      <w:r w:rsidRPr="00CF24C2">
        <w:rPr>
          <w:rFonts w:ascii="Times New Roman" w:eastAsia="Times New Roman" w:hAnsi="Times New Roman" w:cs="Times New Roman"/>
          <w:sz w:val="21"/>
          <w:szCs w:val="21"/>
        </w:rPr>
        <w:tab/>
        <w:t>T</w:t>
      </w:r>
      <w:r w:rsidR="00EA25CC" w:rsidRPr="00CF24C2">
        <w:rPr>
          <w:rFonts w:ascii="Times New Roman" w:eastAsia="Times New Roman" w:hAnsi="Times New Roman" w:cs="Times New Roman"/>
          <w:sz w:val="21"/>
          <w:szCs w:val="21"/>
        </w:rPr>
        <w:t xml:space="preserve">he </w:t>
      </w:r>
      <w:r w:rsidR="00EA25CC" w:rsidRPr="00CF24C2">
        <w:rPr>
          <w:rFonts w:ascii="Times New Roman" w:eastAsia="Times New Roman" w:hAnsi="Times New Roman" w:cs="Times New Roman"/>
          <w:color w:val="000000" w:themeColor="text1"/>
          <w:sz w:val="21"/>
          <w:szCs w:val="21"/>
        </w:rPr>
        <w:t>proposed city-wide 100% Affordable Housing Overlay</w:t>
      </w:r>
      <w:r w:rsidRPr="00CF24C2">
        <w:rPr>
          <w:rFonts w:ascii="Times New Roman" w:eastAsia="Times New Roman" w:hAnsi="Times New Roman" w:cs="Times New Roman"/>
          <w:color w:val="000000" w:themeColor="text1"/>
          <w:sz w:val="21"/>
          <w:szCs w:val="21"/>
        </w:rPr>
        <w:t xml:space="preserve"> (</w:t>
      </w:r>
      <w:r w:rsidRPr="00CF24C2">
        <w:rPr>
          <w:rFonts w:ascii="Times New Roman" w:eastAsia="Times New Roman" w:hAnsi="Times New Roman" w:cs="Times New Roman"/>
          <w:b/>
          <w:color w:val="000000" w:themeColor="text1"/>
          <w:sz w:val="21"/>
          <w:szCs w:val="21"/>
        </w:rPr>
        <w:t>AHO</w:t>
      </w:r>
      <w:r w:rsidRPr="00CF24C2">
        <w:rPr>
          <w:rFonts w:ascii="Times New Roman" w:eastAsia="Times New Roman" w:hAnsi="Times New Roman" w:cs="Times New Roman"/>
          <w:color w:val="000000" w:themeColor="text1"/>
          <w:sz w:val="21"/>
          <w:szCs w:val="21"/>
        </w:rPr>
        <w:t>)</w:t>
      </w:r>
      <w:r w:rsidR="00EA25CC" w:rsidRPr="00CF24C2">
        <w:rPr>
          <w:rFonts w:ascii="Times New Roman" w:eastAsia="Times New Roman" w:hAnsi="Times New Roman" w:cs="Times New Roman"/>
          <w:color w:val="000000" w:themeColor="text1"/>
          <w:sz w:val="21"/>
          <w:szCs w:val="21"/>
        </w:rPr>
        <w:t xml:space="preserve"> will</w:t>
      </w:r>
      <w:r w:rsidR="00CF24C2">
        <w:rPr>
          <w:rFonts w:ascii="Times New Roman" w:eastAsia="Times New Roman" w:hAnsi="Times New Roman" w:cs="Times New Roman"/>
          <w:color w:val="000000" w:themeColor="text1"/>
          <w:sz w:val="21"/>
          <w:szCs w:val="21"/>
        </w:rPr>
        <w:t>:</w:t>
      </w:r>
    </w:p>
    <w:p w14:paraId="24FC9EB3" w14:textId="02004038"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Allow 4 story buildings (45’ in all city residential areas for affordable housing projects. N.B. a triple decker is typically 32’ high including a 4' foundation above grade; allow 50’ with active 1</w:t>
      </w:r>
      <w:r w:rsidRPr="00CF24C2">
        <w:rPr>
          <w:rFonts w:ascii="Times New Roman" w:eastAsia="Times New Roman" w:hAnsi="Times New Roman" w:cs="Times New Roman"/>
          <w:color w:val="000000" w:themeColor="text1"/>
          <w:sz w:val="22"/>
          <w:szCs w:val="22"/>
          <w:vertAlign w:val="superscript"/>
        </w:rPr>
        <w:t>st</w:t>
      </w:r>
      <w:r w:rsidRPr="00CF24C2">
        <w:rPr>
          <w:rFonts w:ascii="Times New Roman" w:eastAsia="Times New Roman" w:hAnsi="Times New Roman" w:cs="Times New Roman"/>
          <w:color w:val="000000" w:themeColor="text1"/>
          <w:sz w:val="22"/>
          <w:szCs w:val="22"/>
        </w:rPr>
        <w:t xml:space="preserve"> floor commercial or related use)</w:t>
      </w:r>
      <w:r w:rsidR="00A53EF7" w:rsidRPr="00CF24C2">
        <w:rPr>
          <w:rFonts w:ascii="Times New Roman" w:eastAsia="Times New Roman" w:hAnsi="Times New Roman" w:cs="Times New Roman"/>
          <w:color w:val="000000" w:themeColor="text1"/>
          <w:sz w:val="22"/>
          <w:szCs w:val="22"/>
        </w:rPr>
        <w:t>. 5 stories are allowed for an active first floor (</w:t>
      </w:r>
      <w:proofErr w:type="spellStart"/>
      <w:r w:rsidR="00A53EF7" w:rsidRPr="00CF24C2">
        <w:rPr>
          <w:rFonts w:ascii="Times New Roman" w:eastAsia="Times New Roman" w:hAnsi="Times New Roman" w:cs="Times New Roman"/>
          <w:color w:val="000000" w:themeColor="text1"/>
          <w:sz w:val="22"/>
          <w:szCs w:val="22"/>
        </w:rPr>
        <w:t>e.</w:t>
      </w:r>
      <w:proofErr w:type="gramStart"/>
      <w:r w:rsidR="00A53EF7" w:rsidRPr="00CF24C2">
        <w:rPr>
          <w:rFonts w:ascii="Times New Roman" w:eastAsia="Times New Roman" w:hAnsi="Times New Roman" w:cs="Times New Roman"/>
          <w:color w:val="000000" w:themeColor="text1"/>
          <w:sz w:val="22"/>
          <w:szCs w:val="22"/>
        </w:rPr>
        <w:t>g.store</w:t>
      </w:r>
      <w:proofErr w:type="spellEnd"/>
      <w:proofErr w:type="gramEnd"/>
      <w:r w:rsidR="00A53EF7" w:rsidRPr="00CF24C2">
        <w:rPr>
          <w:rFonts w:ascii="Times New Roman" w:eastAsia="Times New Roman" w:hAnsi="Times New Roman" w:cs="Times New Roman"/>
          <w:color w:val="000000" w:themeColor="text1"/>
          <w:sz w:val="22"/>
          <w:szCs w:val="22"/>
        </w:rPr>
        <w:t xml:space="preserve"> fronts).</w:t>
      </w:r>
    </w:p>
    <w:p w14:paraId="0A60F6B2" w14:textId="19D42D51"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Allow 80’ (</w:t>
      </w:r>
      <w:r w:rsidR="00A53EF7" w:rsidRPr="00CF24C2">
        <w:rPr>
          <w:rFonts w:ascii="Times New Roman" w:eastAsia="Times New Roman" w:hAnsi="Times New Roman" w:cs="Times New Roman"/>
          <w:color w:val="000000" w:themeColor="text1"/>
          <w:sz w:val="22"/>
          <w:szCs w:val="22"/>
        </w:rPr>
        <w:t>7plus</w:t>
      </w:r>
      <w:r w:rsidRPr="00CF24C2">
        <w:rPr>
          <w:rFonts w:ascii="Times New Roman" w:eastAsia="Times New Roman" w:hAnsi="Times New Roman" w:cs="Times New Roman"/>
          <w:color w:val="000000" w:themeColor="text1"/>
          <w:sz w:val="22"/>
          <w:szCs w:val="22"/>
        </w:rPr>
        <w:t xml:space="preserve"> stories) on all “major transit corridors” (Ma. Ave., Mt. Auburn, Concord, Cambridge St. etc.) – including areas of 2-3 story buildings now</w:t>
      </w:r>
      <w:r w:rsidR="00A53EF7" w:rsidRPr="00CF24C2">
        <w:rPr>
          <w:rFonts w:ascii="Times New Roman" w:eastAsia="Times New Roman" w:hAnsi="Times New Roman" w:cs="Times New Roman"/>
          <w:color w:val="000000" w:themeColor="text1"/>
          <w:sz w:val="22"/>
          <w:szCs w:val="22"/>
        </w:rPr>
        <w:t>.</w:t>
      </w:r>
    </w:p>
    <w:p w14:paraId="44E4D0F2" w14:textId="6CE8CED2"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 xml:space="preserve">Change zoning and design review criteria from the current FAR (floor area ratio) calculations to fixed height (e.g. 4 or </w:t>
      </w:r>
      <w:r w:rsidR="00A53EF7" w:rsidRPr="00CF24C2">
        <w:rPr>
          <w:rFonts w:ascii="Times New Roman" w:eastAsia="Times New Roman" w:hAnsi="Times New Roman" w:cs="Times New Roman"/>
          <w:color w:val="000000" w:themeColor="text1"/>
          <w:sz w:val="22"/>
          <w:szCs w:val="22"/>
        </w:rPr>
        <w:t>7</w:t>
      </w:r>
      <w:r w:rsidRPr="00CF24C2">
        <w:rPr>
          <w:rFonts w:ascii="Times New Roman" w:eastAsia="Times New Roman" w:hAnsi="Times New Roman" w:cs="Times New Roman"/>
          <w:color w:val="000000" w:themeColor="text1"/>
          <w:sz w:val="22"/>
          <w:szCs w:val="22"/>
        </w:rPr>
        <w:t xml:space="preserve"> stories) and fixed property-line set backs (e.g. 7.5 feet from side boundary). This will increase </w:t>
      </w:r>
      <w:r w:rsidRPr="00CF24C2">
        <w:rPr>
          <w:rFonts w:ascii="Times New Roman" w:eastAsia="Times New Roman" w:hAnsi="Times New Roman" w:cs="Times New Roman"/>
          <w:color w:val="000000"/>
          <w:sz w:val="22"/>
          <w:szCs w:val="22"/>
        </w:rPr>
        <w:t>density -as currently measured in FAR- by a factor of five to ten. </w:t>
      </w:r>
    </w:p>
    <w:p w14:paraId="1930BC4B" w14:textId="77777777"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Limit city-wide fixed property line set-backs to 7.5 feet on each side of the building; 10 feet in front; 20 feet in back on affordable housing projects.</w:t>
      </w:r>
    </w:p>
    <w:p w14:paraId="7DB43DB1" w14:textId="1B437EE5"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Excludes property open space from dimensional and other requirements; includes no green space requirement and limits current open space requirements.</w:t>
      </w:r>
      <w:r w:rsidR="00A53EF7" w:rsidRPr="00CF24C2">
        <w:rPr>
          <w:rFonts w:ascii="Times New Roman" w:eastAsia="Times New Roman" w:hAnsi="Times New Roman" w:cs="Times New Roman"/>
          <w:color w:val="000000" w:themeColor="text1"/>
          <w:sz w:val="22"/>
          <w:szCs w:val="22"/>
        </w:rPr>
        <w:t xml:space="preserve"> While some city areas have parks and little residential open space; for other parts of the city it is the reverse. </w:t>
      </w:r>
    </w:p>
    <w:p w14:paraId="06AFB534" w14:textId="7F574D38"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 xml:space="preserve">Define all affordable housing projects “as-of-right,” thereby </w:t>
      </w:r>
      <w:r w:rsidR="00CF24C2" w:rsidRPr="00CF24C2">
        <w:rPr>
          <w:rFonts w:ascii="Times New Roman" w:eastAsia="Times New Roman" w:hAnsi="Times New Roman" w:cs="Times New Roman"/>
          <w:color w:val="000000" w:themeColor="text1"/>
          <w:sz w:val="22"/>
          <w:szCs w:val="22"/>
        </w:rPr>
        <w:t>severely limiting</w:t>
      </w:r>
      <w:r w:rsidRPr="00CF24C2">
        <w:rPr>
          <w:rFonts w:ascii="Times New Roman" w:eastAsia="Times New Roman" w:hAnsi="Times New Roman" w:cs="Times New Roman"/>
          <w:color w:val="000000" w:themeColor="text1"/>
          <w:sz w:val="22"/>
          <w:szCs w:val="22"/>
        </w:rPr>
        <w:t xml:space="preserve"> the ability of residents to appeal and the</w:t>
      </w:r>
      <w:r w:rsidR="00CF24C2" w:rsidRPr="00CF24C2">
        <w:rPr>
          <w:rFonts w:ascii="Times New Roman" w:eastAsia="Times New Roman" w:hAnsi="Times New Roman" w:cs="Times New Roman"/>
          <w:color w:val="000000" w:themeColor="text1"/>
          <w:sz w:val="22"/>
          <w:szCs w:val="22"/>
        </w:rPr>
        <w:t>ir ability</w:t>
      </w:r>
      <w:r w:rsidRPr="00CF24C2">
        <w:rPr>
          <w:rFonts w:ascii="Times New Roman" w:eastAsia="Times New Roman" w:hAnsi="Times New Roman" w:cs="Times New Roman"/>
          <w:color w:val="000000" w:themeColor="text1"/>
          <w:sz w:val="22"/>
          <w:szCs w:val="22"/>
        </w:rPr>
        <w:t xml:space="preserve"> to insist on appropriate design changes to a project, giving developers a free-hand without current checks and balances.</w:t>
      </w:r>
    </w:p>
    <w:p w14:paraId="1DC72FC9" w14:textId="77777777"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 xml:space="preserve"> Transfer Final design decisions from the citizen-based Planning Board (which adjudicates with resident input) to the unelected city manager and staff for all city affordable housing projects.</w:t>
      </w:r>
    </w:p>
    <w:p w14:paraId="7D80E5B7" w14:textId="044773CE"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 xml:space="preserve">End zoning for exclusively single-family dwellings to allow multiple family residences, town houses, and apartment buildings for affordable housing projects. Home owners here will be precluded from making additions </w:t>
      </w:r>
      <w:r w:rsidR="00CF24C2" w:rsidRPr="00CF24C2">
        <w:rPr>
          <w:rFonts w:ascii="Times New Roman" w:eastAsia="Times New Roman" w:hAnsi="Times New Roman" w:cs="Times New Roman"/>
          <w:color w:val="000000" w:themeColor="text1"/>
          <w:sz w:val="22"/>
          <w:szCs w:val="22"/>
        </w:rPr>
        <w:t xml:space="preserve">other than allowed in </w:t>
      </w:r>
      <w:r w:rsidRPr="00CF24C2">
        <w:rPr>
          <w:rFonts w:ascii="Times New Roman" w:eastAsia="Times New Roman" w:hAnsi="Times New Roman" w:cs="Times New Roman"/>
          <w:color w:val="000000" w:themeColor="text1"/>
          <w:sz w:val="22"/>
          <w:szCs w:val="22"/>
        </w:rPr>
        <w:t xml:space="preserve">single-family </w:t>
      </w:r>
      <w:r w:rsidR="00CF24C2" w:rsidRPr="00CF24C2">
        <w:rPr>
          <w:rFonts w:ascii="Times New Roman" w:eastAsia="Times New Roman" w:hAnsi="Times New Roman" w:cs="Times New Roman"/>
          <w:color w:val="000000" w:themeColor="text1"/>
          <w:sz w:val="22"/>
          <w:szCs w:val="22"/>
        </w:rPr>
        <w:t>zoning</w:t>
      </w:r>
      <w:r w:rsidRPr="00CF24C2">
        <w:rPr>
          <w:rFonts w:ascii="Times New Roman" w:eastAsia="Times New Roman" w:hAnsi="Times New Roman" w:cs="Times New Roman"/>
          <w:color w:val="000000" w:themeColor="text1"/>
          <w:sz w:val="22"/>
          <w:szCs w:val="22"/>
        </w:rPr>
        <w:t xml:space="preserve">. This is inequitable and </w:t>
      </w:r>
      <w:r w:rsidR="00A53EF7" w:rsidRPr="00CF24C2">
        <w:rPr>
          <w:rFonts w:ascii="Times New Roman" w:eastAsia="Times New Roman" w:hAnsi="Times New Roman" w:cs="Times New Roman"/>
          <w:color w:val="000000" w:themeColor="text1"/>
          <w:sz w:val="22"/>
          <w:szCs w:val="22"/>
        </w:rPr>
        <w:t>several attorneys point ou</w:t>
      </w:r>
      <w:r w:rsidR="00CF24C2" w:rsidRPr="00CF24C2">
        <w:rPr>
          <w:rFonts w:ascii="Times New Roman" w:eastAsia="Times New Roman" w:hAnsi="Times New Roman" w:cs="Times New Roman"/>
          <w:color w:val="000000" w:themeColor="text1"/>
          <w:sz w:val="22"/>
          <w:szCs w:val="22"/>
        </w:rPr>
        <w:t xml:space="preserve">t that </w:t>
      </w:r>
      <w:r w:rsidR="00A53EF7" w:rsidRPr="00CF24C2">
        <w:rPr>
          <w:rFonts w:ascii="Times New Roman" w:eastAsia="Times New Roman" w:hAnsi="Times New Roman" w:cs="Times New Roman"/>
          <w:color w:val="000000" w:themeColor="text1"/>
          <w:sz w:val="22"/>
          <w:szCs w:val="22"/>
        </w:rPr>
        <w:t xml:space="preserve">it </w:t>
      </w:r>
      <w:r w:rsidRPr="00CF24C2">
        <w:rPr>
          <w:rFonts w:ascii="Times New Roman" w:eastAsia="Times New Roman" w:hAnsi="Times New Roman" w:cs="Times New Roman"/>
          <w:color w:val="000000" w:themeColor="text1"/>
          <w:sz w:val="22"/>
          <w:szCs w:val="22"/>
        </w:rPr>
        <w:t xml:space="preserve">may </w:t>
      </w:r>
      <w:r w:rsidR="00CF24C2">
        <w:rPr>
          <w:rFonts w:ascii="Times New Roman" w:eastAsia="Times New Roman" w:hAnsi="Times New Roman" w:cs="Times New Roman"/>
          <w:color w:val="000000" w:themeColor="text1"/>
          <w:sz w:val="22"/>
          <w:szCs w:val="22"/>
        </w:rPr>
        <w:t xml:space="preserve">violate </w:t>
      </w:r>
      <w:r w:rsidRPr="00CF24C2">
        <w:rPr>
          <w:rFonts w:ascii="Times New Roman" w:eastAsia="Times New Roman" w:hAnsi="Times New Roman" w:cs="Times New Roman"/>
          <w:color w:val="000000" w:themeColor="text1"/>
          <w:sz w:val="22"/>
          <w:szCs w:val="22"/>
        </w:rPr>
        <w:t xml:space="preserve">state law </w:t>
      </w:r>
      <w:r w:rsidRPr="00CF24C2">
        <w:rPr>
          <w:rFonts w:ascii="Times New Roman" w:eastAsia="Times New Roman" w:hAnsi="Times New Roman" w:cs="Times New Roman"/>
          <w:b/>
          <w:bCs/>
          <w:i/>
          <w:iCs/>
          <w:color w:val="000000"/>
          <w:sz w:val="22"/>
          <w:szCs w:val="22"/>
        </w:rPr>
        <w:t>Section 4: Uniform districts.</w:t>
      </w:r>
    </w:p>
    <w:p w14:paraId="54F9AA6B" w14:textId="5FBA67DB" w:rsidR="00EA25CC" w:rsidRPr="00CF24C2" w:rsidRDefault="00EA25CC" w:rsidP="00EA25CC">
      <w:pPr>
        <w:pStyle w:val="ListParagraph"/>
        <w:numPr>
          <w:ilvl w:val="0"/>
          <w:numId w:val="1"/>
        </w:numPr>
        <w:rPr>
          <w:rFonts w:ascii="Times New Roman" w:eastAsia="Times New Roman" w:hAnsi="Times New Roman" w:cs="Times New Roman"/>
          <w:color w:val="000000" w:themeColor="text1"/>
          <w:sz w:val="22"/>
          <w:szCs w:val="22"/>
        </w:rPr>
      </w:pPr>
      <w:r w:rsidRPr="00CF24C2">
        <w:rPr>
          <w:rFonts w:ascii="Times New Roman" w:eastAsia="Times New Roman" w:hAnsi="Times New Roman" w:cs="Times New Roman"/>
          <w:color w:val="000000" w:themeColor="text1"/>
          <w:sz w:val="22"/>
          <w:szCs w:val="22"/>
        </w:rPr>
        <w:t xml:space="preserve">Allow each new affordable housing project to become part of the local neighborhood “context” around which all future building </w:t>
      </w:r>
      <w:r w:rsidR="00CF24C2" w:rsidRPr="00CF24C2">
        <w:rPr>
          <w:rFonts w:ascii="Times New Roman" w:eastAsia="Times New Roman" w:hAnsi="Times New Roman" w:cs="Times New Roman"/>
          <w:color w:val="000000" w:themeColor="text1"/>
          <w:sz w:val="22"/>
          <w:szCs w:val="22"/>
        </w:rPr>
        <w:t xml:space="preserve">designs </w:t>
      </w:r>
      <w:r w:rsidRPr="00CF24C2">
        <w:rPr>
          <w:rFonts w:ascii="Times New Roman" w:eastAsia="Times New Roman" w:hAnsi="Times New Roman" w:cs="Times New Roman"/>
          <w:color w:val="000000" w:themeColor="text1"/>
          <w:sz w:val="22"/>
          <w:szCs w:val="22"/>
        </w:rPr>
        <w:t xml:space="preserve">will be assessed for design appropriateness. </w:t>
      </w:r>
    </w:p>
    <w:p w14:paraId="090BBE57" w14:textId="1FA374E7" w:rsidR="00EA25CC" w:rsidRPr="00CF24C2" w:rsidRDefault="00EA25CC" w:rsidP="00EA25CC">
      <w:pPr>
        <w:pStyle w:val="ListParagraph"/>
        <w:numPr>
          <w:ilvl w:val="0"/>
          <w:numId w:val="1"/>
        </w:numPr>
        <w:rPr>
          <w:rFonts w:ascii="Times New Roman" w:eastAsia="Times New Roman" w:hAnsi="Times New Roman" w:cs="Times New Roman"/>
          <w:sz w:val="22"/>
          <w:szCs w:val="22"/>
        </w:rPr>
      </w:pPr>
      <w:r w:rsidRPr="00CF24C2">
        <w:rPr>
          <w:rFonts w:ascii="Times New Roman" w:eastAsia="Times New Roman" w:hAnsi="Times New Roman" w:cs="Times New Roman"/>
          <w:color w:val="000000" w:themeColor="text1"/>
          <w:sz w:val="22"/>
          <w:szCs w:val="22"/>
        </w:rPr>
        <w:t xml:space="preserve">Include deed-written requirement for </w:t>
      </w:r>
      <w:r w:rsidR="00CF24C2" w:rsidRPr="00CF24C2">
        <w:rPr>
          <w:rFonts w:ascii="Times New Roman" w:eastAsia="Times New Roman" w:hAnsi="Times New Roman" w:cs="Times New Roman"/>
          <w:color w:val="000000" w:themeColor="text1"/>
          <w:sz w:val="22"/>
          <w:szCs w:val="22"/>
        </w:rPr>
        <w:t xml:space="preserve">each unit to be </w:t>
      </w:r>
      <w:r w:rsidRPr="00CF24C2">
        <w:rPr>
          <w:rFonts w:ascii="Times New Roman" w:eastAsia="Times New Roman" w:hAnsi="Times New Roman" w:cs="Times New Roman"/>
          <w:color w:val="000000" w:themeColor="text1"/>
          <w:sz w:val="22"/>
          <w:szCs w:val="22"/>
        </w:rPr>
        <w:t xml:space="preserve">affordable housing (in perpetuity). The number of such projects will increase each year (the c.100 units of year one could become 7,000 units by year 70).  It will preclude this private property being purchased and reused for other needs such as a school, library, grocery. This will make </w:t>
      </w:r>
      <w:r w:rsidR="00CF24C2" w:rsidRPr="00CF24C2">
        <w:rPr>
          <w:rFonts w:ascii="Times New Roman" w:eastAsia="Times New Roman" w:hAnsi="Times New Roman" w:cs="Times New Roman"/>
          <w:color w:val="000000" w:themeColor="text1"/>
          <w:sz w:val="22"/>
          <w:szCs w:val="22"/>
        </w:rPr>
        <w:t xml:space="preserve">future </w:t>
      </w:r>
      <w:r w:rsidRPr="00CF24C2">
        <w:rPr>
          <w:rFonts w:ascii="Times New Roman" w:eastAsia="Times New Roman" w:hAnsi="Times New Roman" w:cs="Times New Roman"/>
          <w:color w:val="000000" w:themeColor="text1"/>
          <w:sz w:val="22"/>
          <w:szCs w:val="22"/>
        </w:rPr>
        <w:t>city planning more difficult.</w:t>
      </w:r>
    </w:p>
    <w:p w14:paraId="77004E69" w14:textId="67E4695B" w:rsidR="00541638" w:rsidRPr="00CF24C2" w:rsidRDefault="00EA25CC" w:rsidP="003D4DAE">
      <w:pPr>
        <w:pStyle w:val="ListParagraph"/>
        <w:numPr>
          <w:ilvl w:val="0"/>
          <w:numId w:val="1"/>
        </w:numPr>
        <w:rPr>
          <w:rFonts w:ascii="Times New Roman" w:hAnsi="Times New Roman" w:cs="Times New Roman"/>
          <w:sz w:val="22"/>
          <w:szCs w:val="22"/>
        </w:rPr>
      </w:pPr>
      <w:r w:rsidRPr="00CF24C2">
        <w:rPr>
          <w:rFonts w:ascii="Times New Roman" w:eastAsia="Times New Roman" w:hAnsi="Times New Roman" w:cs="Times New Roman"/>
          <w:sz w:val="22"/>
          <w:szCs w:val="22"/>
        </w:rPr>
        <w:t>Will be based on a</w:t>
      </w:r>
      <w:r w:rsidR="00A53EF7" w:rsidRPr="00CF24C2">
        <w:rPr>
          <w:rFonts w:ascii="Times New Roman" w:eastAsia="Times New Roman" w:hAnsi="Times New Roman" w:cs="Times New Roman"/>
          <w:sz w:val="22"/>
          <w:szCs w:val="22"/>
        </w:rPr>
        <w:t xml:space="preserve">n </w:t>
      </w:r>
      <w:r w:rsidRPr="00CF24C2">
        <w:rPr>
          <w:rFonts w:ascii="Times New Roman" w:eastAsia="Times New Roman" w:hAnsi="Times New Roman" w:cs="Times New Roman"/>
          <w:sz w:val="22"/>
          <w:szCs w:val="22"/>
        </w:rPr>
        <w:t>economically s</w:t>
      </w:r>
      <w:r w:rsidR="00A53EF7" w:rsidRPr="00CF24C2">
        <w:rPr>
          <w:rFonts w:ascii="Times New Roman" w:eastAsia="Times New Roman" w:hAnsi="Times New Roman" w:cs="Times New Roman"/>
          <w:sz w:val="22"/>
          <w:szCs w:val="22"/>
        </w:rPr>
        <w:t xml:space="preserve">eparated </w:t>
      </w:r>
      <w:r w:rsidRPr="00CF24C2">
        <w:rPr>
          <w:rFonts w:ascii="Times New Roman" w:eastAsia="Times New Roman" w:hAnsi="Times New Roman" w:cs="Times New Roman"/>
          <w:sz w:val="22"/>
          <w:szCs w:val="22"/>
        </w:rPr>
        <w:t>public housing</w:t>
      </w:r>
      <w:r w:rsidR="00A53EF7" w:rsidRPr="00CF24C2">
        <w:rPr>
          <w:rFonts w:ascii="Times New Roman" w:eastAsia="Times New Roman" w:hAnsi="Times New Roman" w:cs="Times New Roman"/>
          <w:sz w:val="22"/>
          <w:szCs w:val="22"/>
        </w:rPr>
        <w:t xml:space="preserve"> model (for those</w:t>
      </w:r>
      <w:r w:rsidR="00CF24C2" w:rsidRPr="00CF24C2">
        <w:rPr>
          <w:rFonts w:ascii="Times New Roman" w:eastAsia="Times New Roman" w:hAnsi="Times New Roman" w:cs="Times New Roman"/>
          <w:sz w:val="22"/>
          <w:szCs w:val="22"/>
        </w:rPr>
        <w:t xml:space="preserve"> below </w:t>
      </w:r>
      <w:r w:rsidR="00A53EF7" w:rsidRPr="00CF24C2">
        <w:rPr>
          <w:rFonts w:ascii="Times New Roman" w:eastAsia="Times New Roman" w:hAnsi="Times New Roman" w:cs="Times New Roman"/>
          <w:sz w:val="22"/>
          <w:szCs w:val="22"/>
        </w:rPr>
        <w:t>100% of Area Median Income</w:t>
      </w:r>
      <w:r w:rsidR="00CF24C2" w:rsidRPr="00CF24C2">
        <w:rPr>
          <w:rFonts w:ascii="Times New Roman" w:eastAsia="Times New Roman" w:hAnsi="Times New Roman" w:cs="Times New Roman"/>
          <w:sz w:val="22"/>
          <w:szCs w:val="22"/>
        </w:rPr>
        <w:t>, and targeted at 80% AMI or $56,800 per year for 1 person</w:t>
      </w:r>
      <w:r w:rsidR="00A53EF7" w:rsidRPr="00CF24C2">
        <w:rPr>
          <w:rFonts w:ascii="Times New Roman" w:eastAsia="Times New Roman" w:hAnsi="Times New Roman" w:cs="Times New Roman"/>
          <w:sz w:val="22"/>
          <w:szCs w:val="22"/>
        </w:rPr>
        <w:t xml:space="preserve">), rather than including a balance of low Income, median-income, </w:t>
      </w:r>
      <w:r w:rsidR="00EB5ECB" w:rsidRPr="00CF24C2">
        <w:rPr>
          <w:rFonts w:ascii="Times New Roman" w:eastAsia="Times New Roman" w:hAnsi="Times New Roman" w:cs="Times New Roman"/>
          <w:sz w:val="22"/>
          <w:szCs w:val="22"/>
        </w:rPr>
        <w:t xml:space="preserve">and </w:t>
      </w:r>
      <w:r w:rsidR="00A53EF7" w:rsidRPr="00CF24C2">
        <w:rPr>
          <w:rFonts w:ascii="Times New Roman" w:eastAsia="Times New Roman" w:hAnsi="Times New Roman" w:cs="Times New Roman"/>
          <w:sz w:val="22"/>
          <w:szCs w:val="22"/>
        </w:rPr>
        <w:t>market-rate. Economic</w:t>
      </w:r>
      <w:r w:rsidR="00EB5ECB" w:rsidRPr="00CF24C2">
        <w:rPr>
          <w:rFonts w:ascii="Times New Roman" w:eastAsia="Times New Roman" w:hAnsi="Times New Roman" w:cs="Times New Roman"/>
          <w:sz w:val="22"/>
          <w:szCs w:val="22"/>
        </w:rPr>
        <w:t xml:space="preserve">ally separated housing </w:t>
      </w:r>
      <w:r w:rsidRPr="00CF24C2">
        <w:rPr>
          <w:rFonts w:ascii="Times New Roman" w:eastAsia="Times New Roman" w:hAnsi="Times New Roman" w:cs="Times New Roman"/>
          <w:sz w:val="22"/>
          <w:szCs w:val="22"/>
        </w:rPr>
        <w:t xml:space="preserve">is </w:t>
      </w:r>
      <w:r w:rsidR="00A53EF7" w:rsidRPr="00CF24C2">
        <w:rPr>
          <w:rFonts w:ascii="Times New Roman" w:eastAsia="Times New Roman" w:hAnsi="Times New Roman" w:cs="Times New Roman"/>
          <w:sz w:val="22"/>
          <w:szCs w:val="22"/>
        </w:rPr>
        <w:t xml:space="preserve">now </w:t>
      </w:r>
      <w:r w:rsidRPr="00CF24C2">
        <w:rPr>
          <w:rFonts w:ascii="Times New Roman" w:eastAsia="Times New Roman" w:hAnsi="Times New Roman" w:cs="Times New Roman"/>
          <w:sz w:val="22"/>
          <w:szCs w:val="22"/>
        </w:rPr>
        <w:t xml:space="preserve">rejected </w:t>
      </w:r>
      <w:r w:rsidR="00EB5ECB" w:rsidRPr="00CF24C2">
        <w:rPr>
          <w:rFonts w:ascii="Times New Roman" w:eastAsia="Times New Roman" w:hAnsi="Times New Roman" w:cs="Times New Roman"/>
          <w:sz w:val="22"/>
          <w:szCs w:val="22"/>
        </w:rPr>
        <w:t xml:space="preserve">in many communities </w:t>
      </w:r>
      <w:r w:rsidR="00A53EF7" w:rsidRPr="00CF24C2">
        <w:rPr>
          <w:rFonts w:ascii="Times New Roman" w:eastAsia="Times New Roman" w:hAnsi="Times New Roman" w:cs="Times New Roman"/>
          <w:sz w:val="22"/>
          <w:szCs w:val="22"/>
        </w:rPr>
        <w:t xml:space="preserve">for not being </w:t>
      </w:r>
      <w:r w:rsidRPr="00CF24C2">
        <w:rPr>
          <w:rFonts w:ascii="Times New Roman" w:eastAsia="Times New Roman" w:hAnsi="Times New Roman" w:cs="Times New Roman"/>
          <w:sz w:val="22"/>
          <w:szCs w:val="22"/>
        </w:rPr>
        <w:t>inclusi</w:t>
      </w:r>
      <w:r w:rsidR="00A53EF7" w:rsidRPr="00CF24C2">
        <w:rPr>
          <w:rFonts w:ascii="Times New Roman" w:eastAsia="Times New Roman" w:hAnsi="Times New Roman" w:cs="Times New Roman"/>
          <w:sz w:val="22"/>
          <w:szCs w:val="22"/>
        </w:rPr>
        <w:t>ve</w:t>
      </w:r>
      <w:r w:rsidRPr="00CF24C2">
        <w:rPr>
          <w:rFonts w:ascii="Times New Roman" w:eastAsia="Times New Roman" w:hAnsi="Times New Roman" w:cs="Times New Roman"/>
          <w:sz w:val="22"/>
          <w:szCs w:val="22"/>
        </w:rPr>
        <w:t xml:space="preserve"> or equity</w:t>
      </w:r>
      <w:r w:rsidR="00A53EF7" w:rsidRPr="00CF24C2">
        <w:rPr>
          <w:rFonts w:ascii="Times New Roman" w:eastAsia="Times New Roman" w:hAnsi="Times New Roman" w:cs="Times New Roman"/>
          <w:sz w:val="22"/>
          <w:szCs w:val="22"/>
        </w:rPr>
        <w:t xml:space="preserve">-based. </w:t>
      </w:r>
      <w:r w:rsidR="00CF24C2" w:rsidRPr="00CF24C2">
        <w:rPr>
          <w:rFonts w:ascii="Times New Roman" w:eastAsia="Times New Roman" w:hAnsi="Times New Roman" w:cs="Times New Roman"/>
          <w:sz w:val="22"/>
          <w:szCs w:val="22"/>
        </w:rPr>
        <w:t xml:space="preserve">This </w:t>
      </w:r>
      <w:r w:rsidR="00A53EF7" w:rsidRPr="00CF24C2">
        <w:rPr>
          <w:rFonts w:ascii="Times New Roman" w:eastAsia="Times New Roman" w:hAnsi="Times New Roman" w:cs="Times New Roman"/>
          <w:sz w:val="22"/>
          <w:szCs w:val="22"/>
        </w:rPr>
        <w:t xml:space="preserve">also </w:t>
      </w:r>
      <w:r w:rsidRPr="00CF24C2">
        <w:rPr>
          <w:rFonts w:ascii="Times New Roman" w:eastAsia="Times New Roman" w:hAnsi="Times New Roman" w:cs="Times New Roman"/>
          <w:sz w:val="22"/>
          <w:szCs w:val="22"/>
        </w:rPr>
        <w:t>prohibit</w:t>
      </w:r>
      <w:r w:rsidR="00CF24C2" w:rsidRPr="00CF24C2">
        <w:rPr>
          <w:rFonts w:ascii="Times New Roman" w:eastAsia="Times New Roman" w:hAnsi="Times New Roman" w:cs="Times New Roman"/>
          <w:sz w:val="22"/>
          <w:szCs w:val="22"/>
        </w:rPr>
        <w:t>s</w:t>
      </w:r>
      <w:r w:rsidRPr="00CF24C2">
        <w:rPr>
          <w:rFonts w:ascii="Times New Roman" w:eastAsia="Times New Roman" w:hAnsi="Times New Roman" w:cs="Times New Roman"/>
          <w:sz w:val="22"/>
          <w:szCs w:val="22"/>
        </w:rPr>
        <w:t xml:space="preserve"> inhabitants taking new higher paying jobs if they want to remain in their units</w:t>
      </w:r>
      <w:r w:rsidR="00A53EF7" w:rsidRPr="00CF24C2">
        <w:rPr>
          <w:rFonts w:ascii="Times New Roman" w:eastAsia="Times New Roman" w:hAnsi="Times New Roman" w:cs="Times New Roman"/>
          <w:sz w:val="22"/>
          <w:szCs w:val="22"/>
        </w:rPr>
        <w:t xml:space="preserve"> and provides no </w:t>
      </w:r>
      <w:r w:rsidRPr="00CF24C2">
        <w:rPr>
          <w:rFonts w:ascii="Times New Roman" w:eastAsia="Times New Roman" w:hAnsi="Times New Roman" w:cs="Times New Roman"/>
          <w:sz w:val="22"/>
          <w:szCs w:val="22"/>
        </w:rPr>
        <w:t xml:space="preserve">avenue </w:t>
      </w:r>
      <w:r w:rsidR="00A53EF7" w:rsidRPr="00CF24C2">
        <w:rPr>
          <w:rFonts w:ascii="Times New Roman" w:eastAsia="Times New Roman" w:hAnsi="Times New Roman" w:cs="Times New Roman"/>
          <w:sz w:val="22"/>
          <w:szCs w:val="22"/>
        </w:rPr>
        <w:t xml:space="preserve">to </w:t>
      </w:r>
      <w:r w:rsidRPr="00CF24C2">
        <w:rPr>
          <w:rFonts w:ascii="Times New Roman" w:eastAsia="Times New Roman" w:hAnsi="Times New Roman" w:cs="Times New Roman"/>
          <w:sz w:val="22"/>
          <w:szCs w:val="22"/>
        </w:rPr>
        <w:t>home ownership for residents (who meet criteria) to purchase their units to resell to the city for ongoing affordable housing once they leave</w:t>
      </w:r>
      <w:r w:rsidR="003D4DAE" w:rsidRPr="00CF24C2">
        <w:rPr>
          <w:rFonts w:ascii="Times New Roman" w:eastAsia="Times New Roman" w:hAnsi="Times New Roman" w:cs="Times New Roman"/>
          <w:sz w:val="22"/>
          <w:szCs w:val="22"/>
        </w:rPr>
        <w:t>.</w:t>
      </w:r>
      <w:r w:rsidR="003D4DAE" w:rsidRPr="00CF24C2">
        <w:rPr>
          <w:rFonts w:ascii="Times New Roman" w:hAnsi="Times New Roman" w:cs="Times New Roman"/>
          <w:sz w:val="22"/>
          <w:szCs w:val="22"/>
        </w:rPr>
        <w:t xml:space="preserve"> </w:t>
      </w:r>
    </w:p>
    <w:sectPr w:rsidR="00541638" w:rsidRPr="00CF24C2" w:rsidSect="003D4DAE">
      <w:headerReference w:type="even" r:id="rId10"/>
      <w:head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5EA3A" w14:textId="77777777" w:rsidR="00077532" w:rsidRDefault="00077532" w:rsidP="00260BE2">
      <w:r>
        <w:separator/>
      </w:r>
    </w:p>
  </w:endnote>
  <w:endnote w:type="continuationSeparator" w:id="0">
    <w:p w14:paraId="30EDF79D" w14:textId="77777777" w:rsidR="00077532" w:rsidRDefault="00077532" w:rsidP="0026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C9D4D" w14:textId="77777777" w:rsidR="00077532" w:rsidRDefault="00077532" w:rsidP="00260BE2">
      <w:r>
        <w:separator/>
      </w:r>
    </w:p>
  </w:footnote>
  <w:footnote w:type="continuationSeparator" w:id="0">
    <w:p w14:paraId="3573045B" w14:textId="77777777" w:rsidR="00077532" w:rsidRDefault="00077532" w:rsidP="00260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4635341"/>
      <w:docPartObj>
        <w:docPartGallery w:val="Page Numbers (Top of Page)"/>
        <w:docPartUnique/>
      </w:docPartObj>
    </w:sdtPr>
    <w:sdtEndPr>
      <w:rPr>
        <w:rStyle w:val="PageNumber"/>
      </w:rPr>
    </w:sdtEndPr>
    <w:sdtContent>
      <w:p w14:paraId="499CCEFE" w14:textId="4D51EC47" w:rsidR="00260BE2" w:rsidRDefault="00260BE2" w:rsidP="003D4DA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EBD024" w14:textId="77777777" w:rsidR="00260BE2" w:rsidRDefault="00260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4020073"/>
      <w:docPartObj>
        <w:docPartGallery w:val="Page Numbers (Top of Page)"/>
        <w:docPartUnique/>
      </w:docPartObj>
    </w:sdtPr>
    <w:sdtEndPr>
      <w:rPr>
        <w:rStyle w:val="PageNumber"/>
      </w:rPr>
    </w:sdtEndPr>
    <w:sdtContent>
      <w:p w14:paraId="41185C7E" w14:textId="049E594D" w:rsidR="00260BE2" w:rsidRDefault="00260BE2" w:rsidP="003D4DA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45AD5B" w14:textId="77777777" w:rsidR="00260BE2" w:rsidRDefault="00260B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F012EF"/>
    <w:multiLevelType w:val="hybridMultilevel"/>
    <w:tmpl w:val="252446F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228"/>
    <w:rsid w:val="00053486"/>
    <w:rsid w:val="00077532"/>
    <w:rsid w:val="000A6ED8"/>
    <w:rsid w:val="000C6CD1"/>
    <w:rsid w:val="00120228"/>
    <w:rsid w:val="001570D8"/>
    <w:rsid w:val="0021616D"/>
    <w:rsid w:val="00260BE2"/>
    <w:rsid w:val="003D4DAE"/>
    <w:rsid w:val="00531F10"/>
    <w:rsid w:val="00541638"/>
    <w:rsid w:val="006504AB"/>
    <w:rsid w:val="0066083B"/>
    <w:rsid w:val="00760FB4"/>
    <w:rsid w:val="00806B34"/>
    <w:rsid w:val="0089037E"/>
    <w:rsid w:val="00A35302"/>
    <w:rsid w:val="00A53EF7"/>
    <w:rsid w:val="00A834F3"/>
    <w:rsid w:val="00C2131B"/>
    <w:rsid w:val="00CF24C2"/>
    <w:rsid w:val="00EA25CC"/>
    <w:rsid w:val="00EB5ECB"/>
    <w:rsid w:val="00FE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777EE"/>
  <w15:chartTrackingRefBased/>
  <w15:docId w15:val="{2877A0DB-F0A4-2A4D-8861-7CFFB47EA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2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228"/>
    <w:pPr>
      <w:ind w:left="720"/>
      <w:contextualSpacing/>
    </w:pPr>
  </w:style>
  <w:style w:type="paragraph" w:styleId="Header">
    <w:name w:val="header"/>
    <w:basedOn w:val="Normal"/>
    <w:link w:val="HeaderChar"/>
    <w:uiPriority w:val="99"/>
    <w:unhideWhenUsed/>
    <w:rsid w:val="00260BE2"/>
    <w:pPr>
      <w:tabs>
        <w:tab w:val="center" w:pos="4680"/>
        <w:tab w:val="right" w:pos="9360"/>
      </w:tabs>
    </w:pPr>
  </w:style>
  <w:style w:type="character" w:customStyle="1" w:styleId="HeaderChar">
    <w:name w:val="Header Char"/>
    <w:basedOn w:val="DefaultParagraphFont"/>
    <w:link w:val="Header"/>
    <w:uiPriority w:val="99"/>
    <w:rsid w:val="00260BE2"/>
  </w:style>
  <w:style w:type="character" w:styleId="PageNumber">
    <w:name w:val="page number"/>
    <w:basedOn w:val="DefaultParagraphFont"/>
    <w:uiPriority w:val="99"/>
    <w:semiHidden/>
    <w:unhideWhenUsed/>
    <w:rsid w:val="00260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507</Words>
  <Characters>2929</Characters>
  <Application>Microsoft Office Word</Application>
  <DocSecurity>0</DocSecurity>
  <Lines>83</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Blier, Suzanne</dc:creator>
  <cp:keywords/>
  <dc:description/>
  <cp:lastModifiedBy>Blier, Suzanne</cp:lastModifiedBy>
  <cp:revision>3</cp:revision>
  <dcterms:created xsi:type="dcterms:W3CDTF">2019-08-07T15:09:00Z</dcterms:created>
  <dcterms:modified xsi:type="dcterms:W3CDTF">2019-08-07T15:43:00Z</dcterms:modified>
</cp:coreProperties>
</file>